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ind w:right="-2" w:firstLine="4536"/>
        <w:jc w:val="center"/>
        <w:rPr>
          <w:rFonts w:ascii="Times New Roman" w:hAnsi="Times New Roman" w:cs="Times New Roman"/>
          <w:sz w:val="28"/>
          <w:szCs w:val="28"/>
        </w:rPr>
      </w:pPr>
      <w:r>
        <w:rPr>
          <w:rFonts w:cs="Times New Roman" w:ascii="Times New Roman" w:hAnsi="Times New Roman"/>
          <w:sz w:val="28"/>
          <w:szCs w:val="28"/>
        </w:rPr>
        <w:t>Приложение 3</w:t>
      </w:r>
    </w:p>
    <w:p>
      <w:pPr>
        <w:pStyle w:val="Normal"/>
        <w:spacing w:lineRule="auto" w:line="240" w:before="0" w:after="0"/>
        <w:ind w:left="4536" w:hanging="0"/>
        <w:jc w:val="both"/>
        <w:rPr>
          <w:rFonts w:ascii="Times New Roman" w:hAnsi="Times New Roman" w:cs="Times New Roman"/>
          <w:sz w:val="28"/>
          <w:szCs w:val="28"/>
        </w:rPr>
      </w:pPr>
      <w:r>
        <w:rPr>
          <w:rFonts w:cs="Times New Roman" w:ascii="Times New Roman" w:hAnsi="Times New Roman"/>
          <w:sz w:val="28"/>
          <w:szCs w:val="28"/>
        </w:rPr>
        <w:t>к государственной программе «Обеспе-чение реализации государственных полномочий в области строительства, архитектуры и развитие дорожного хозяйства Брянской области»</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ПОРЯДОК</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предоставления субсидий бюджетам муниципальных образований на софинансирование объектов капитальных вложений в рамках реализации подпрограммы «Реабилитация населения и территории Брянской области, подвергшихся радиационному воздействию вследствие катастрофы на Чернобыльской АЭС»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p>
    <w:p>
      <w:pPr>
        <w:pStyle w:val="Normal"/>
        <w:spacing w:lineRule="auto" w:line="240" w:before="0" w:after="0"/>
        <w:ind w:firstLine="709"/>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 Настоящий Порядок, разработанный в соответствии с Правилами формирования, предоставления и распределения субсидий из областного бюджета бюджетам муниципальных образований Брянской области, утвержденными Постановлением Правительства Брянской области от 23 июля 2018 года № 362-п (далее - Правила формирования, предоставления и распределения субсидий), устанавливает цели и условия предоставления субсидий бюджетам муниципальных образований Брянской области на софинансирование объектов капитальных вложений в рамках подпрограммы «Реабилитация населения и территории Брянской области, подвергшихся радиационному воздействию вследствие катастрофы на Чернобыльской АЭС»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 (далее – Субсидии), критерии отбора муниципальных образований для предоставления субсидий.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 Субсидии предоставляются бюджетам муниципальных образований Брянской области на реализацию подпрограммы «Реабилитация населения и территории Брянской области, подвергшихся радиационному воздействию вследствие катастрофы на Чернобыльской АЭС»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 на следующие цели: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строительство и реконструкция газопроводных систем для населенных пунктов в загрязненных районах области;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строительство и реконструкция водопроводных сетей и систем водозабора, систем водоотведения в загрязненных районах области;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перевод отопления социально-культурных объектов на природный газ в загрязненных районах области;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lang w:eastAsia="ru-RU"/>
        </w:rPr>
        <w:t>а также на предоставление субсидий на осуществление капитальных вложений в объекты капитального строительства муниципальной собственности муниципальным предприятиям, в ведении которых находятся инженерные сети муниципального образования.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3. Условиями предоставления субсидии бюджетам муниципальных образований на цели, предусмотренные пунктом 2 настоящего Порядка, являются: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 наличие ассигнований в бюджетах муниципальных образований в объеме не менее 5% объема расходного обязательства муниципального образования;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 заключение соглашения о предоставлении субсидии;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3) перечень мероприятий, подлежащих утверждению правовыми актами муниципального образования.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4. Уровень софинансирования расходных обязательств муниципальных образований, указанных в пункте 2 настоящего Порядка, за счет субсидий из областного бюджета не может превышать 95% объема расходного обязательства муниципального образования.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5. Главным распорядителем средств областного бюджета по вышеуказанным расходам является департамент строительства Брянской области.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6. Отбор муниципальных образований Брянской области осуществляет департамент строительства Брянской области.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7. Критериями отбора муниципальных образований для предоставления субсидий являются: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принадлежность к территории населенного пункта, находящегося в границах зон радиоактивного загрязнения;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наличие утвержденно</w:t>
      </w:r>
      <w:bookmarkStart w:id="0" w:name="_GoBack"/>
      <w:bookmarkEnd w:id="0"/>
      <w:r>
        <w:rPr>
          <w:rFonts w:cs="Times New Roman" w:ascii="Times New Roman" w:hAnsi="Times New Roman"/>
          <w:sz w:val="28"/>
          <w:szCs w:val="28"/>
        </w:rPr>
        <w:t>й в установленном порядке проектно-сметной документации, соответствующей нормативным требованиям, прошедшей государственную экспертизу в случаях, установленных законодательством, и имеющей положительное заключение государственной экспертизы, либо обязательство органа местного самоуправления, предусматривающее обеспечение разработки и проведения государственной экспертизы проектной документации в срок до 30 календарных дней после утверждения региональной адресной инвестиционной программы на соответствующий финансовый год;</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наличие объектов незавершенного строительства;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отсутствие водопроводных сетей, канализационных сетей;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отсутствие сетей газоснабжения;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несоответствие тепловых режимов котельных объектов социально-культурной сферы населенных пунктов существующим нормам.</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8. Главный распорядитель бюджетных средств с учетом критериев, перечисленных в пункте 7 настоящего Порядка, определяет перечень муниципальных образований для предоставления субсидий на цели, указанные в пункте 2 настоящего Порядка.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9. Распределение субсидий между бюджетами муниципальных образований утверждается Законом Брянской области об областном бюджете на очередной финансовый год. Внесение изменений осуществляется в соответствии с Законом Брянской области от 02.11.2016 № 89-З </w:t>
        <w:br/>
        <w:t>«О межбюджетных отношениях в Брянской области». Перечень объектов капитальных вложений утверждается нормативными правовыми актами Брянской области.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10. Субсидии предоставляются на основании соглашения о предоставлении субсидии, заключаемого между главным распорядителем бюджетных средств и администрациями муниципальных образований Брянской области.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11.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 открытый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12. Администрации муниципальных образований (муниципальные предприятия, в ведении которых находятся инженерные сети муниципального образования) осуществляют закупку работ на выполнение строительно-монтажных работ, приобретение оборудования, на выполнение работ, предусмотренных проектно-сметной документацией, на реализацию целей, предусмотренных пунктом 2 настоящего Порядка,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13. Администрации муниципальных образований обеспечивают предоставление отчетов согласно срокам и формам, предусмотренным соглашением.</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13.1. Показателями результата использования субсидии является строительство и реконструкция систем газоснабжения, водоснабжения, водоотведения, перевод отопления социально-культурных объектов на природный газ для населенных пунктов загрязненных районов Брянской области.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13.2. Оценка эффективности использования муниципальными образованиями субсидии осуществляется департаментом строительства Брянской области исходя из достижения муниципальными образованиями целевых значений показателей (индикаторов). Критерием эффективности использования субсидий является достижение значения целевого показателя результата, установленного соглашением о предоставлении субсидии муниципальному образованию на софинансирование объектов муниципальной собственности на текущий финансовый год и на плановый период.</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14.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соглашением в соответствии с подпунктами 13.1, 13.2 пункта 13 настоящего 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муниципального образования в областной бюджет в срок до 1 июня года, следующего за годом предоставления субсидии (V</w:t>
      </w:r>
      <w:r>
        <w:rPr>
          <w:rFonts w:cs="Times New Roman" w:ascii="Times New Roman" w:hAnsi="Times New Roman"/>
          <w:sz w:val="28"/>
          <w:szCs w:val="28"/>
          <w:vertAlign w:val="subscript"/>
        </w:rPr>
        <w:t>возврата</w:t>
      </w:r>
      <w:r>
        <w:rPr>
          <w:rFonts w:cs="Times New Roman" w:ascii="Times New Roman" w:hAnsi="Times New Roman"/>
          <w:sz w:val="28"/>
          <w:szCs w:val="28"/>
        </w:rPr>
        <w:t>), рассчитывается по формуле: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V</w:t>
      </w:r>
      <w:r>
        <w:rPr>
          <w:rFonts w:cs="Times New Roman" w:ascii="Times New Roman" w:hAnsi="Times New Roman"/>
          <w:sz w:val="28"/>
          <w:szCs w:val="28"/>
          <w:vertAlign w:val="subscript"/>
        </w:rPr>
        <w:t>возврата</w:t>
      </w:r>
      <w:r>
        <w:rPr>
          <w:rFonts w:cs="Times New Roman" w:ascii="Times New Roman" w:hAnsi="Times New Roman"/>
          <w:sz w:val="28"/>
          <w:szCs w:val="28"/>
        </w:rPr>
        <w:t xml:space="preserve"> = (V</w:t>
      </w:r>
      <w:r>
        <w:rPr>
          <w:rFonts w:cs="Times New Roman" w:ascii="Times New Roman" w:hAnsi="Times New Roman"/>
          <w:sz w:val="28"/>
          <w:szCs w:val="28"/>
          <w:vertAlign w:val="subscript"/>
        </w:rPr>
        <w:t>субсидии</w:t>
      </w:r>
      <w:r>
        <w:rPr>
          <w:rFonts w:cs="Times New Roman" w:ascii="Times New Roman" w:hAnsi="Times New Roman"/>
          <w:sz w:val="28"/>
          <w:szCs w:val="28"/>
        </w:rPr>
        <w:t xml:space="preserve"> x k x m / n) x 0,1, где: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V</w:t>
      </w:r>
      <w:r>
        <w:rPr>
          <w:rFonts w:cs="Times New Roman" w:ascii="Times New Roman" w:hAnsi="Times New Roman"/>
          <w:sz w:val="28"/>
          <w:szCs w:val="28"/>
          <w:vertAlign w:val="subscript"/>
        </w:rPr>
        <w:t>субсидии</w:t>
      </w:r>
      <w:r>
        <w:rPr>
          <w:rFonts w:cs="Times New Roman" w:ascii="Times New Roman" w:hAnsi="Times New Roman"/>
          <w:sz w:val="28"/>
          <w:szCs w:val="28"/>
        </w:rPr>
        <w:t xml:space="preserve"> - размер субсидии, предоставленной бюджету муниципального образования в отчетном финансовом году;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m - количество показателей результативности использования субсидии, по которым индекс, отражающий уровень недостижения i-го показателя результативности использования субсидии, имеет положительное значение;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n - общее количество показателей результативности использования субсидии;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k - коэффициент возврата субсидии.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При расчете объема средств, подлежащих возврату из бюджета муниципального образования в областной бюджет, в размере субсидии, предоставленной бюджету муниципального образования в отчетном финансовом году (V</w:t>
      </w:r>
      <w:r>
        <w:rPr>
          <w:rFonts w:cs="Times New Roman" w:ascii="Times New Roman" w:hAnsi="Times New Roman"/>
          <w:sz w:val="28"/>
          <w:szCs w:val="28"/>
          <w:vertAlign w:val="subscript"/>
        </w:rPr>
        <w:t>субсидии</w:t>
      </w:r>
      <w:r>
        <w:rPr>
          <w:rFonts w:cs="Times New Roman" w:ascii="Times New Roman" w:hAnsi="Times New Roman"/>
          <w:sz w:val="28"/>
          <w:szCs w:val="28"/>
        </w:rPr>
        <w:t>), не учитывается размер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доходов областного бюджета, осуществляющим администрирование доходов областного бюджета от возврата остатков субсидий.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Коэффициент возврата субсидии рассчитывается по формуле: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lang w:val="en-US"/>
        </w:rPr>
      </w:pPr>
      <w:r>
        <w:rPr>
          <w:rFonts w:cs="Times New Roman" w:ascii="Times New Roman" w:hAnsi="Times New Roman"/>
          <w:sz w:val="28"/>
          <w:szCs w:val="28"/>
          <w:lang w:val="en-US"/>
        </w:rPr>
        <w:t xml:space="preserve">k = SUM Di / m, </w:t>
      </w:r>
      <w:r>
        <w:rPr>
          <w:rFonts w:cs="Times New Roman" w:ascii="Times New Roman" w:hAnsi="Times New Roman"/>
          <w:sz w:val="28"/>
          <w:szCs w:val="28"/>
        </w:rPr>
        <w:t>где</w:t>
      </w:r>
      <w:r>
        <w:rPr>
          <w:rFonts w:cs="Times New Roman" w:ascii="Times New Roman" w:hAnsi="Times New Roman"/>
          <w:sz w:val="28"/>
          <w:szCs w:val="28"/>
          <w:lang w:val="en-US"/>
        </w:rPr>
        <w:t>:</w:t>
      </w:r>
    </w:p>
    <w:p>
      <w:pPr>
        <w:pStyle w:val="Normal"/>
        <w:spacing w:lineRule="auto" w:line="240" w:before="0" w:after="0"/>
        <w:ind w:firstLine="709"/>
        <w:jc w:val="both"/>
        <w:rPr>
          <w:rFonts w:ascii="Times New Roman" w:hAnsi="Times New Roman" w:cs="Times New Roman"/>
          <w:sz w:val="28"/>
          <w:szCs w:val="28"/>
          <w:lang w:val="en-US"/>
        </w:rPr>
      </w:pPr>
      <w:r>
        <w:rPr>
          <w:rFonts w:cs="Times New Roman" w:ascii="Times New Roman" w:hAnsi="Times New Roman"/>
          <w:sz w:val="28"/>
          <w:szCs w:val="28"/>
          <w:lang w:val="en-US"/>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Di - индекс, отражающий уровень недостижения i-го показателя результативности использования субсидии.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При расчете коэффициента возврата субсидии используются только положительные значения индекса, отражающего уровень недостижения i-го показателя результативности использования субсидии.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Индекс, отражающий уровень недостижения i-го показателя результативности использования субсидии, определяется по формуле: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Di = 1 - Ti / Si, где: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Ti - фактически достигнутое значение i-го показателя результативности использования субсидии на отчетную дату;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Si - плановое значение i-го показателя результативности использования субсидии, установленное соглашением.</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15.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графиком выполнения мероприятий по капитальному строительству объектов, указанных в пункте 2 настоящего Порядка,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без учета размера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бюджетных средств, подлежит возврату из местного бюджета в доход областного бюджета в срок до 1 июня года, следующего за годом предоставления субсидии, если администрацией муниципального образования, допустившего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пунктом 20 Правил формирования, предоставления и распределения субсидий.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 случае одновременного нарушения муниципальным образованием обязательств, предусмотренных соглашением в соответствии с подпунктами 13.1, 13.2 пункта 13 настоящего Порядка и графиком выполнения мероприятий по капитальному строительству объектов,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соответствии с абзацем первым настоящего пункта.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16. Освобождение муниципальных образований от применения мер ответственности, предусмотренных пунктами 14, 15 настоящего Порядка, осуществляется в соответствии с пунктом 20 Правил формирования, предоставления и распределения субсидий.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17. Главный распорядитель указанных субсидий вправе вносить предложения о перераспределении субсидий между муниципальными образованиями.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18. Органы местного самоуправления представляют главному распорядителю бюджетных средств документы, подтверждающие проводимые расходы в соответствии с заключенным соглашением о предоставлении субсидии бюджету муниципального образования.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19. Органы местного самоуправления муниципальных образований обеспечивают целевое и эффективное использование бюджетных средств. Департамент строительства Брянской области осуществляет контроль за целевым использованием бюджетных средств, в том числе через ГКУ «Управление капитального строительства Брянской области».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20.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пунктами 14 и 15 настоящего Порядка, к нему применяются бюджетные меры принуждения, предусмотренные бюджетным законодательством Российской Федерации.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Решения о приостановлении перечисления (сокращении объема) субсидии бюджету муниципального образования не принимаются в случае, если условия предоставления субсидии были не выполнены в силу обстоятельств непреодолимой силы.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21. Субсидии носят целевой характер. В случае нарушения муниципальным образованием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22. Не использованные по состоянию на 1 января очередного финансового года остатки средств субсидии подлежат возврату в областной бюджет.</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МЕТОДИКА</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распределения субсидий бюджетам муниципальных образований на софинансирование объектов капитальных вложений в рамках реализации подпрограммы «Реабилитация населения и территории Брянской области, подвергшихся радиационному воздействию вследствие катастрофы на Чернобыльской АЭС»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Субсидии предоставляются бюджетам муниципальных образований на софинансирование объектов капитальных вложений в рамках подпрограммы «Реабилитация населения и территории Брянской области, подвергшихся радиационному воздействию вследствие катастрофы на Чернобыльской АЭС»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Субсидия распределяется между муниципальными образованиями по следующей методике расчета: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Сi = С x Vi / V, где: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Сi - размер субсидии бюджету i-го муниципального образования;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 - общий объем субсидий, выделяемых бюджетам муниципальных образований на софинансирование объектов капитальных вложений в рамках подпрограммы «Реабилитация населения и территории Брянской области, подвергшихся радиационному воздействию вследствие катастрофы на Чернобыльской АЭС»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V - общий объем затрат, определяемый департаментом строительства Брянской области согласно представленным муниципальными образованиями заявкам на выделение субсидий на софинансирование объектов капитальных вложений в рамках подпрограммы «Реабилитация населения и территории Брянской области, подвергшихся радиационному воздействию вследствие катастрофы на Чернобыльской АЭС»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Vi - объем затрат по i-му муниципальному образованию на софинансирование объектов капитальных вложений в рамках подпрограммы «Реабилитация населения и территории Брянской области, подвергшихся радиационному воздействию вследствие катастрофы на Чернобыльской АЭС»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p>
    <w:sectPr>
      <w:type w:val="nextPage"/>
      <w:pgSz w:w="11906" w:h="16838"/>
      <w:pgMar w:left="1701" w:right="850" w:header="0"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Segoe UI">
    <w:charset w:val="cc"/>
    <w:family w:val="roman"/>
    <w:pitch w:val="variable"/>
  </w:font>
  <w:font w:name="Liberation Sans">
    <w:altName w:val="Arial"/>
    <w:charset w:val="cc"/>
    <w:family w:val="swiss"/>
    <w:pitch w:val="variable"/>
  </w:font>
  <w:font w:name="Times New Roman">
    <w:charset w:val="cc"/>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Текст выноски Знак"/>
    <w:basedOn w:val="DefaultParagraphFont"/>
    <w:link w:val="a3"/>
    <w:uiPriority w:val="99"/>
    <w:semiHidden/>
    <w:qFormat/>
    <w:rsid w:val="00647876"/>
    <w:rPr>
      <w:rFonts w:ascii="Segoe UI" w:hAnsi="Segoe UI" w:cs="Segoe UI"/>
      <w:sz w:val="18"/>
      <w:szCs w:val="18"/>
    </w:rPr>
  </w:style>
  <w:style w:type="paragraph" w:styleId="Style15">
    <w:name w:val="Заголовок"/>
    <w:basedOn w:val="Normal"/>
    <w:next w:val="Style16"/>
    <w:qFormat/>
    <w:pPr>
      <w:keepNext w:val="true"/>
      <w:spacing w:before="240" w:after="120"/>
    </w:pPr>
    <w:rPr>
      <w:rFonts w:ascii="Liberation Sans" w:hAnsi="Liberation Sans" w:eastAsia="Microsoft YaHei" w:cs="Arial Unicode MS"/>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Arial Unicode MS"/>
    </w:rPr>
  </w:style>
  <w:style w:type="paragraph" w:styleId="Style18">
    <w:name w:val="Caption"/>
    <w:basedOn w:val="Normal"/>
    <w:qFormat/>
    <w:pPr>
      <w:suppressLineNumbers/>
      <w:spacing w:before="120" w:after="120"/>
    </w:pPr>
    <w:rPr>
      <w:rFonts w:cs="Arial Unicode MS"/>
      <w:i/>
      <w:iCs/>
      <w:sz w:val="24"/>
      <w:szCs w:val="24"/>
    </w:rPr>
  </w:style>
  <w:style w:type="paragraph" w:styleId="Style19">
    <w:name w:val="Указатель"/>
    <w:basedOn w:val="Normal"/>
    <w:qFormat/>
    <w:pPr>
      <w:suppressLineNumbers/>
    </w:pPr>
    <w:rPr>
      <w:rFonts w:cs="Arial Unicode MS"/>
    </w:rPr>
  </w:style>
  <w:style w:type="paragraph" w:styleId="BalloonText">
    <w:name w:val="Balloon Text"/>
    <w:basedOn w:val="Normal"/>
    <w:link w:val="a4"/>
    <w:uiPriority w:val="99"/>
    <w:semiHidden/>
    <w:unhideWhenUsed/>
    <w:qFormat/>
    <w:rsid w:val="00647876"/>
    <w:pPr>
      <w:spacing w:lineRule="auto" w:line="240" w:before="0" w:after="0"/>
    </w:pPr>
    <w:rPr>
      <w:rFonts w:ascii="Segoe UI" w:hAnsi="Segoe UI" w:cs="Segoe UI"/>
      <w:sz w:val="18"/>
      <w:szCs w:val="18"/>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Application>LibreOffice/7.0.1.2$Windows_X86_64 LibreOffice_project/7cbcfc562f6eb6708b5ff7d7397325de9e764452</Application>
  <Pages>7</Pages>
  <Words>1722</Words>
  <Characters>13805</Characters>
  <CharactersWithSpaces>15463</CharactersWithSpaces>
  <Paragraphs>66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2020-10-09T05:39:00Z</dcterms:created>
  <dc:creator>User Windows</dc:creator>
  <dc:description/>
  <dc:language>ru-RU</dc:language>
  <cp:lastModifiedBy>User Windows</cp:lastModifiedBy>
  <cp:lastPrinted>2021-10-22T09:52:00Z</cp:lastPrinted>
  <dcterms:modified xsi:type="dcterms:W3CDTF">2021-10-25T11:25:00Z</dcterms:modified>
  <cp:revision>35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